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Półtora roku w półtorej minuty. Agencja prezentuje skrót swoich najlepszych caseów z 2015 roku i pierwszej połowy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Uderzające. Mocne. Przyciągające. Zabawne. Perfekcyjnie wykonane. - Takie są nasze realizacje -</w:t>
      </w:r>
      <w:r>
        <w:rPr>
          <w:rFonts w:ascii="calibri" w:hAnsi="calibri" w:eastAsia="calibri" w:cs="calibri"/>
          <w:sz w:val="24"/>
          <w:szCs w:val="24"/>
        </w:rPr>
        <w:t xml:space="preserve">mówi Joanna Gerlee, head of creative w Digital Kingdom. - Intro showreela nawiązuje do tych pięciu filarów i jest złożone ze specjalnie nakręconych na tę okazję scen.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Pozycję Agencji na rynku określają jej Klienci i poziom wykonywanych dla nich prac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dumny, że w ciągu ostatnich dwóch lat udało nam się rozwinąć współpracę z dotychczasowymi Klientami. Jednocześnie wygraliśmy szereg prestiżowych przetargów na obsługę takich marek, jak: Malibu, Rimmel, CAT footwear i Polskie Radio </w:t>
      </w:r>
      <w:r>
        <w:rPr>
          <w:rFonts w:ascii="calibri" w:hAnsi="calibri" w:eastAsia="calibri" w:cs="calibri"/>
          <w:sz w:val="24"/>
          <w:szCs w:val="24"/>
        </w:rPr>
        <w:t xml:space="preserve">- dodaje Gustaw Rozmarynowski, prezes zarządu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Obejrzyj showreel: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https://youtu.be/KSeE2e6YMmY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Kingdom,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Agencja strategiczno–kreatywna, której serce bije w rytmie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Planujemy, tworzymy i wdrażamy platformy komunikacji w mediach interaktywnych dla największych marek w Polsce i za granicą. Do grona naszych Klientów należą między innymi: Coty, CAT footwear, Grupa Betsson w regionie CEE, Mobile Vikings, OTCF S.A, Polskie Radio, Pernod Ricard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2026-01-23T18:05:17+01:00</dcterms:created>
  <dcterms:modified xsi:type="dcterms:W3CDTF">2026-01-23T18:05:17+01:00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