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Dwie nominacje do Golden Arrow 2018 dla Digital Kingdom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otrzymała nominacje w kategorii Digital Marketing – kampania internetowa oraz digital marketing - video za projekt #MetalicHair promujący metaliczną koloryzację włosów od L'Oréal Professionnel.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Efekt kampanii to wzrost sprzedaży o 298,7% co doceniło jury nominując kampanię aż w dwóch kategoriach.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2017 roku Digital Kingdom również otrzymało dwie nominacje w konkursie Golden Arrrow za projekty : „Żywy Gig” zrealizowany dla Czwórki polskiego Radia oraz Wedel Kids w świecie Minecraft. Nominacja pierwszego projektu zamieniła się w nagrodę.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Przypominamy nagrodzony projekt Czwórka – Żywy Gig: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https://youtu.be/FE8ej1QLur0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Agencji:</w:t>
      </w:r>
    </w:p>
    <w:p>
      <w:r>
        <w:rPr>
          <w:rFonts w:ascii="calibri" w:hAnsi="calibri" w:eastAsia="calibri" w:cs="calibri"/>
          <w:sz w:val="24"/>
          <w:szCs w:val="24"/>
        </w:rPr>
        <w:t xml:space="preserve">Digital Kingdom to jedna z najczęściej nagradzanych niezależnych agencji strategiczno-kreatywnych w 2017 roku. Realizujemy projekty we wszystkich obszarach marketingu skutecznie łącząc świat off i online. Agencja pracuje dla największych marek w Polsce i za granicą m.in.: Showmax, Opel, PAYBACK, Rimmel, CAT, L’Oréal, AXN, Dr.Martens, Randstad, Keds, Sperry, dr. Gerard, forBET.</w:t>
      </w:r>
    </w:p>
    <w:p>
      <w:r>
        <w:rPr>
          <w:rFonts w:ascii="calibri" w:hAnsi="calibri" w:eastAsia="calibri" w:cs="calibri"/>
          <w:sz w:val="24"/>
          <w:szCs w:val="24"/>
        </w:rPr>
        <w:t xml:space="preserve">W 2017 roku Digital Kingdom otrzymało srebrne Effie, dwa złota i srebro w konkursie Mixx Awards, Kreaturę, oraz wyróżnienie w konkursie Golden Arrow w kategorii Digital marketing - video.</w:t>
      </w:r>
    </w:p>
    <w:p>
      <w:r>
        <w:rPr>
          <w:rFonts w:ascii="calibri" w:hAnsi="calibri" w:eastAsia="calibri" w:cs="calibri"/>
          <w:sz w:val="24"/>
          <w:szCs w:val="24"/>
        </w:rPr>
        <w:t xml:space="preserve">Więcej informacji na stronie oraz w biurze prasowym Agencji.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FE8ej1QLur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2026-08-03T00:11:33+02:00</dcterms:created>
  <dcterms:modified xsi:type="dcterms:W3CDTF">2026-08-03T00:11:33+02:00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