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kampania Mirinda Mix-it z udziałem Margaret.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obejmuje szeroko zasięgowe działania w social media oraz kampanię YouTube, której głównym elementem jest wyjątkowy podwójny teledysk do utworu „Tempo”, stworzony dzięki współpracy Margaret z Mirindą. Dodatkowo prowadzone są działania natywne na kanałach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„Kampania digitalowa Mix-it to unikalne działanie na pograniczu branded content, digital experience oraz formatów awareness &amp; positioning. Tylko kampanie wymykające się poza utarte normy i schematy są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stanie skutecznie dotrzeć do najbardziej wymagającej grupy docelowej – pokolenia Z” </w:t>
      </w:r>
      <w:r>
        <w:rPr>
          <w:rFonts w:ascii="calibri" w:hAnsi="calibri" w:eastAsia="calibri" w:cs="calibri"/>
          <w:sz w:val="24"/>
          <w:szCs w:val="24"/>
        </w:rPr>
        <w:t xml:space="preserve">– komentuje Joanna Gerlee Creative Director Digital Kingdom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Głównym assetem kampanii jest podwójny teledysk, a właściwie dwa niezależne teledyski stworzone do utworu Margaret „Tempo”. Każdy z teledysków można obejrzeć osobno, ale jeszcze lepiej obejrzeć je razem z przyjacielem, łącząc dwa ekrany smartfonów. Dzięki temu widzowie otrzymują pełne doświadczenie interakcji i zabawy z branded contentem.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Teledysk (góra)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https://youtu.be/A-wWekVszTw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Teledysk (dół)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https://youtu.be/X_9vQCk8IQE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spójne przeniesienie globalnej strategii marki na angażujące działania na Polskim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niestandardowy sposób podkreślamy FUN towarzyszący konsumpcji Mirindy. Podwójność i radość wynikająca ze spędzania czasu z przyjacielem jest wpisana w DNA marki i konsekwentnie komunikowana, między innymi poprzez postać „dwugłowego”.</w:t>
      </w:r>
      <w:r>
        <w:rPr>
          <w:rFonts w:ascii="calibri" w:hAnsi="calibri" w:eastAsia="calibri" w:cs="calibri"/>
          <w:sz w:val="24"/>
          <w:szCs w:val="24"/>
        </w:rPr>
        <w:t xml:space="preserve"> – komentuje Eliza Tomalak Social Strategy Director w Digital Kingdom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strategię, kreację i egzekucję kampanii oraz koordynację współpracy z Margaret odpowiada agencja Digital Kingdom. Zakup mediów planuje OMD. Za produkcję i postprodukcję teledysków odpowiada Link Visuals.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Opel, PAYBACK, Mirinda, 7UP, Rimmel,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-wWekVszTw" TargetMode="External"/><Relationship Id="rId8" Type="http://schemas.openxmlformats.org/officeDocument/2006/relationships/hyperlink" Target="https://youtu.be/X_9vQCk8IQE" TargetMode="External"/><Relationship Id="rId9" Type="http://schemas.openxmlformats.org/officeDocument/2006/relationships/hyperlink" Target="https://digitalkingdom.pl/" TargetMode="External"/><Relationship Id="rId10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2026-10-16T07:37:45+02:00</dcterms:created>
  <dcterms:modified xsi:type="dcterms:W3CDTF">2026-10-16T07:37:45+02:00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