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Digital Kingdom opracowało kampanię LOréal Professionnel promującą nowy trend - koloryzacje Metallic.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odpowiada za koncepcję kreatywną aktywacji obejmującą komunikację 360 digital.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Główną osią kampanii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video</w:t>
        </w:r>
      </w:hyperlink>
      <w:r>
        <w:rPr>
          <w:rFonts w:ascii="calibri" w:hAnsi="calibri" w:eastAsia="calibri" w:cs="calibri"/>
          <w:sz w:val="24"/>
          <w:szCs w:val="24"/>
        </w:rPr>
        <w:t xml:space="preserve"> z ambasadorem marki Leszkiem Czajką i influencerką Zosią</w:t>
      </w:r>
    </w:p>
    <w:p>
      <w:r>
        <w:rPr>
          <w:rFonts w:ascii="calibri" w:hAnsi="calibri" w:eastAsia="calibri" w:cs="calibri"/>
          <w:sz w:val="24"/>
          <w:szCs w:val="24"/>
        </w:rPr>
        <w:t xml:space="preserve">Ślotałą.</w:t>
      </w:r>
    </w:p>
    <w:p>
      <w:r>
        <w:rPr>
          <w:rFonts w:ascii="calibri" w:hAnsi="calibri" w:eastAsia="calibri" w:cs="calibri"/>
          <w:sz w:val="24"/>
          <w:szCs w:val="24"/>
        </w:rPr>
        <w:t xml:space="preserve"> Agencja odpowiada również za kreację pozostałych formatów digital: landing page, kreacje dispaly oraz</w:t>
      </w:r>
    </w:p>
    <w:p>
      <w:r>
        <w:rPr>
          <w:rFonts w:ascii="calibri" w:hAnsi="calibri" w:eastAsia="calibri" w:cs="calibri"/>
          <w:sz w:val="24"/>
          <w:szCs w:val="24"/>
        </w:rPr>
        <w:t xml:space="preserve">dostosowanie i reformaty video do poszczególnych platform.</w:t>
      </w:r>
    </w:p>
    <w:p>
      <w:r>
        <w:rPr>
          <w:rFonts w:ascii="calibri" w:hAnsi="calibri" w:eastAsia="calibri" w:cs="calibri"/>
          <w:sz w:val="24"/>
          <w:szCs w:val="24"/>
        </w:rPr>
        <w:t xml:space="preserve">Jest nam bardzo miło, że rozpoczynamy naszą współpracę z L'Oréal od tak ciekawego projektu. Cieszę się, że</w:t>
      </w:r>
    </w:p>
    <w:p>
      <w:r>
        <w:rPr>
          <w:rFonts w:ascii="calibri" w:hAnsi="calibri" w:eastAsia="calibri" w:cs="calibri"/>
          <w:sz w:val="24"/>
          <w:szCs w:val="24"/>
        </w:rPr>
        <w:t xml:space="preserve">doświadczenie zespołu strategicznego i kreatywnego w komunikacji beauty procentuje tak udanymi realizacjami. - Komentuje Gustaw Rozmarynowski, New Business &amp; Account Director w Digital Kingdom.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Informacje o agencji:</w:t>
      </w:r>
    </w:p>
    <w:p>
      <w:r>
        <w:rPr>
          <w:rFonts w:ascii="calibri" w:hAnsi="calibri" w:eastAsia="calibri" w:cs="calibri"/>
          <w:sz w:val="24"/>
          <w:szCs w:val="24"/>
        </w:rPr>
        <w:t xml:space="preserve">Digital Kingdom to agencja strategiczno-kreatywna, której sercem jest digital.</w:t>
      </w:r>
    </w:p>
    <w:p>
      <w:r>
        <w:rPr>
          <w:rFonts w:ascii="calibri" w:hAnsi="calibri" w:eastAsia="calibri" w:cs="calibri"/>
          <w:sz w:val="24"/>
          <w:szCs w:val="24"/>
        </w:rPr>
        <w:t xml:space="preserve">Realizujemy projekty we wszystkich obszarach marketingu skutecznie łącząc świat off i online. Agencja</w:t>
      </w:r>
    </w:p>
    <w:p>
      <w:r>
        <w:rPr>
          <w:rFonts w:ascii="calibri" w:hAnsi="calibri" w:eastAsia="calibri" w:cs="calibri"/>
          <w:sz w:val="24"/>
          <w:szCs w:val="24"/>
        </w:rPr>
        <w:t xml:space="preserve">pracuje dla największych marek w Polsce i za granicą m.in.: Showmax, Opel, PAYBACK, Rimmel, CAT,</w:t>
      </w:r>
    </w:p>
    <w:p>
      <w:r>
        <w:rPr>
          <w:rFonts w:ascii="calibri" w:hAnsi="calibri" w:eastAsia="calibri" w:cs="calibri"/>
          <w:sz w:val="24"/>
          <w:szCs w:val="24"/>
        </w:rPr>
        <w:t xml:space="preserve">Dr.Martens, Randstad, Keds, Sperry, Betsson, Betsafe, dr. Gerard.</w:t>
      </w:r>
    </w:p>
    <w:p>
      <w:r>
        <w:rPr>
          <w:rFonts w:ascii="calibri" w:hAnsi="calibri" w:eastAsia="calibri" w:cs="calibri"/>
          <w:sz w:val="24"/>
          <w:szCs w:val="24"/>
        </w:rPr>
        <w:t xml:space="preserve">W 2017 roku Digital Kingdom otrzymało srebrne Effie, dwa złota i srebro w konkursie Mixx Awards ,</w:t>
      </w:r>
    </w:p>
    <w:p>
      <w:r>
        <w:rPr>
          <w:rFonts w:ascii="calibri" w:hAnsi="calibri" w:eastAsia="calibri" w:cs="calibri"/>
          <w:sz w:val="24"/>
          <w:szCs w:val="24"/>
        </w:rPr>
        <w:t xml:space="preserve">Kreaturę, oraz wyróżnienie w konkursie Golden Arrow w kategorii Digital marketing - video.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 www.digitalkingdom.pl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K_3HF8i62r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2025-10-08T02:22:14+02:00</dcterms:created>
  <dcterms:modified xsi:type="dcterms:W3CDTF">2025-10-08T02:22:14+02:00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