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Digital Kingdom realizuje pierwszy projekt dla Yves Rocher Polska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Agencja po wygranym przetargu odpowiada za kampanię 360 digital relaunchującą linię kosmetyków Hydra Vegetal – wiodącą linię face care marki Yves Rocher - specjalisty od kosmetyków opartych na roślinnych składnikach aktywnych.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Głównym elementem wizerunkowym w ramach kampanii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„Tysiąc emocji. Jedna twarz. Nawilżaj ją. Naturalnie.” </w:t>
      </w:r>
      <w:r>
        <w:rPr>
          <w:rFonts w:ascii="calibri" w:hAnsi="calibri" w:eastAsia="calibri" w:cs="calibri"/>
          <w:sz w:val="24"/>
          <w:szCs w:val="24"/>
        </w:rPr>
        <w:t xml:space="preserve">jest lokalnie wyprodukowany spot z ambasadorkami projektu: Kasią Bigos, Stylizacje TV, oraz Jestem Kasia.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Link do video: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https://youtu.be/BlIhs2Dr28o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Hubem komunikacyjnym kampanii Hydra Vegetal jest serwis konkursowy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https://hydrafaces.pl/</w:t>
        </w:r>
      </w:hyperlink>
      <w:r>
        <w:rPr>
          <w:rFonts w:ascii="calibri" w:hAnsi="calibri" w:eastAsia="calibri" w:cs="calibri"/>
          <w:sz w:val="24"/>
          <w:szCs w:val="24"/>
        </w:rPr>
        <w:t xml:space="preserve">, na którym użytkownicy za pomocą generatora video mogą w prosty sposób stworzyć minivideo, ukazujące emocje, które wyraża ich twarz.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„Mądre i świadome podejście do pielęgnacji twarzy pozwala w nieskrępowany sposób wyrażać siebie. To na tym insighcie oparte są wszystkie działania kampanijne”</w:t>
      </w:r>
      <w:r>
        <w:rPr>
          <w:rFonts w:ascii="calibri" w:hAnsi="calibri" w:eastAsia="calibri" w:cs="calibri"/>
          <w:sz w:val="24"/>
          <w:szCs w:val="24"/>
        </w:rPr>
        <w:t xml:space="preserve"> komentuje Joanna Gerlee Creative Director Digital Kingdom.</w:t>
      </w:r>
    </w:p>
    <w:p>
      <w:r>
        <w:rPr>
          <w:rFonts w:ascii="calibri" w:hAnsi="calibri" w:eastAsia="calibri" w:cs="calibri"/>
          <w:sz w:val="24"/>
          <w:szCs w:val="24"/>
        </w:rPr>
        <w:t xml:space="preserve"> Aktywacja prowadzona będzie przez najbliższy miesiąc. Dodatkowo Klient w ramach współpracy z agencją Chatbotize uruchamia dedykowanego chatbota zintegrowanego z serwisem www.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Agencja Digital Kingdom odpowiada za strategię i kreację, wdrożenie i utrzymanie serwisu www, kreacje display zarówno lokalne, jak i adaptację globalnych materiałów. </w:t>
      </w:r>
    </w:p>
    <w:p>
      <w:r>
        <w:rPr>
          <w:rFonts w:ascii="calibri" w:hAnsi="calibri" w:eastAsia="calibri" w:cs="calibri"/>
          <w:sz w:val="24"/>
          <w:szCs w:val="24"/>
        </w:rPr>
        <w:t xml:space="preserve"> Wideo zrealizował dom produkcyjny Link Visuals, spoty wyreżyserowała Monika Kmita.</w:t>
      </w:r>
    </w:p>
    <w:p>
      <w:r>
        <w:rPr>
          <w:rFonts w:ascii="calibri" w:hAnsi="calibri" w:eastAsia="calibri" w:cs="calibri"/>
          <w:sz w:val="24"/>
          <w:szCs w:val="24"/>
        </w:rPr>
        <w:t xml:space="preserve"> Zakupem mediów zajmuje się iProspect zaproszone do projektu przez Digital Kingdom.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Informacje o Agencji: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Digital Kingdom to jedna z najczęściej nagradzanych niezależnych agencji strategiczno-kreatywnych w 2017 roku. Realizujemy projekty we wszystkich obszarach marketingu skutecznie łącząc świat off i online. Agencja pracuje dla największych marek w Polsce i za granicą m.in.: Showmax, Opel, PAYBACK, Rimmel, CAT, L’Oréal,Dr.Martens, Randstad, Keds, Sperry, dr. Gerard, AXN, forBET.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2017 roku Digital Kingdom otrzymało srebrne Effie, dwa złota i srebro w konkursie Mixx Awards, Kreaturę, oraz wyróżnienie w konkursie Golden Arrow w kategorii Digital marketing - video.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stronie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w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biurze prasowym</w:t>
        </w:r>
      </w:hyperlink>
      <w:r>
        <w:rPr>
          <w:rFonts w:ascii="calibri" w:hAnsi="calibri" w:eastAsia="calibri" w:cs="calibri"/>
          <w:sz w:val="24"/>
          <w:szCs w:val="24"/>
        </w:rPr>
        <w:t xml:space="preserve"> Agencji.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BlIhs2Dr28o" TargetMode="External"/><Relationship Id="rId8" Type="http://schemas.openxmlformats.org/officeDocument/2006/relationships/hyperlink" Target="https://hydrafaces.pl/" TargetMode="External"/><Relationship Id="rId9" Type="http://schemas.openxmlformats.org/officeDocument/2006/relationships/hyperlink" Target="https://digitalkingdom.pl/" TargetMode="External"/><Relationship Id="rId10" Type="http://schemas.openxmlformats.org/officeDocument/2006/relationships/hyperlink" Target="http://digitalkingdom.biuroprasowe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2026-10-06T11:41:38+02:00</dcterms:created>
  <dcterms:modified xsi:type="dcterms:W3CDTF">2026-10-06T11:41:38+02:00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