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Prosta historia o „ złym Adblocku “ - felieton naszego New Business Directora dla Nowego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Dyskusja o Adblocku trwa w najlepsze, nic dziwnego jesteśmy Europejskim nr.2 pod względem instalacji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rozszerzenia blokującego reklamy w naszych przeglądarkach. Czytając większość opinii ekspertów 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branży uśmiecham się i szczerze cieszę, bo utwierdzają mnie w przekonaniu, że sinusoida agencyjnego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biznesu jest niezmienna i właśnie nadchodzi czas agencji rozumiejących jak tworzyć komunikację odporną na Adblocka.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wproNieubłagana sinusoida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Największe agencje na rynku przesypiają zmiany, albo po prostu nie chcą się do nich dostosować licząc, że</w:t>
      </w:r>
    </w:p>
    <w:p>
      <w:r>
        <w:rPr>
          <w:rFonts w:ascii="calibri" w:hAnsi="calibri" w:eastAsia="calibri" w:cs="calibri"/>
          <w:sz w:val="24"/>
          <w:szCs w:val="24"/>
        </w:rPr>
        <w:t xml:space="preserve">jakoś to będzie, chwilowy trend zaraz minie. Tak było w przypadku sieciówek skupionych na ATLu, które</w:t>
      </w:r>
    </w:p>
    <w:p>
      <w:r>
        <w:rPr>
          <w:rFonts w:ascii="calibri" w:hAnsi="calibri" w:eastAsia="calibri" w:cs="calibri"/>
          <w:sz w:val="24"/>
          <w:szCs w:val="24"/>
        </w:rPr>
        <w:t xml:space="preserve">przespały Digital oraz wzrost znaczenia mediów społecznościowych. Potem w końcu orientowały się, że jest za późno na budowanie własnej struktury i jedynym sensownym wyjściem z sytuacji był zakup prężnie rozwijających się agencji digitalowych. Tę erę mamy za sobą, a nasza sinusoida znów jest na górze. Najwięksi udają, że nic się nie zmienia, a agencje średniej wielkości wygrywają kolejne przetargi, bo rozumieją zmianę rynku, dyktowaną w dużej mierze przez Adblocka.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Perspektywa: „Oby niczego nie zmieniać”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Przedstawiciel „najbardziej interaktywnej agencji w Polsce“ , doświadczony i z pewnością znający się na swojej pracy, polegającej na optymalizacji kampanii AdWords, tłumaczy w artykule opublikowanym w wirtualnych mediach dlaczego Adblock jest popularny. Jednocześnie wskazuje „problemy“ użytkowników, którzy korzystają z takich rozwiązań. Oto przykład: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„Reklama powinna być pomocna dla użytkownika i oferować mu to czego oczekuje w danym miejscu i danym czasie. Wyobraźmy sobie dwa scenariusze: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1. Psuje nam się samochód gdzieś z dala od cywilizacji. Używamy rozwiązania Adblock, niestety nie możemy znaleźć najbliższego warsztatu, bo nie widzimy żadnych reklam.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2. Ten sam scenariusz ale tym razem nie używamy blokowania reklam. Wyszukujemy warsztat w</w:t>
      </w:r>
    </w:p>
    <w:p>
      <w:r>
        <w:rPr>
          <w:rFonts w:ascii="calibri" w:hAnsi="calibri" w:eastAsia="calibri" w:cs="calibri"/>
          <w:sz w:val="24"/>
          <w:szCs w:val="24"/>
        </w:rPr>
        <w:t xml:space="preserve">wyszukiwarce i natychmiast otrzymujemy gotowe rozwiązania w postaci numeru telefonu do najbliższej pomocy drogowej.”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Przykład równie prawdziwy, jak rozmowa nastolatków z dilerem w kampanii Głównego Inspektoratu Sanitarnego przeciwko dopalaczom.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No dobrze czytelniku, skoro już poświęciłeś 40 sekund swojego życia i nadal czytasz ten felieton, to</w:t>
      </w:r>
    </w:p>
    <w:p>
      <w:r>
        <w:rPr>
          <w:rFonts w:ascii="calibri" w:hAnsi="calibri" w:eastAsia="calibri" w:cs="calibri"/>
          <w:sz w:val="24"/>
          <w:szCs w:val="24"/>
        </w:rPr>
        <w:t xml:space="preserve"> przejdźmy do konkretów. Zastanówmy się, co jest faktycznie istotą komunikacji, której niestraszna jest wtyczka Adblock. Piszę to z perspektywy przedstawiciela na pewno nie największej, ale prawdopodobnie najbardziej odpornej na Adblocka agencji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I) „Narzędziowy insight“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Myśl narzędziami i kanałami komunikacji dopasowanymi do grupy docelowej. Twórz unikatowe doświadczenia, w których epicentrum jest marka. Wiem, wiem... brzmi banalnie i może oznaczać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wszystko. Więc omówmy tę zmianę myślenia na konkretnym case study.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Czwarty Polskiego Radia to radiostacja kierowana do młodej grupy docelowej. Do ludzi, którzy jeśli popatrzymy w TGI, po pierwsze nie słuchają radia w ogóle, po drugie są najbardziej odpornym na komunikację reklamową targetem. Zarówno w mediach tradycyjnych, jak i pod względem korzystania z Adblocka (według Adblocking Report 2015, przygotowanego przez Paigefair i Adobe, Polska jest na drugim miejscu w Europie pod względem procentowego udziału Adblocka w rynku. W grupie docelowej radia szacujemy ponad 55 proc. użytkowników korzystających z rozszerzenia Adblock)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Te okoliczności sprawiają, że myśląc o komunikacji produktu Polskiego Radia, jakim jest świetny content muzyczny i autorskie audycje gwiazd takich, jak Dawid Podsiadło, nie możemy ograniczyć się do baneriady i outdooru mówiącego:„Czwórka jest super, mamy fajne audycje! Słuchaj nas!” Każda złotówka wydana na standardowe formaty reklamowe w komunikacji z tą grupą docelową jest nieefektywna.</w:t>
      </w:r>
    </w:p>
    <w:p>
      <w:r>
        <w:rPr>
          <w:rFonts w:ascii="calibri" w:hAnsi="calibri" w:eastAsia="calibri" w:cs="calibri"/>
          <w:sz w:val="24"/>
          <w:szCs w:val="24"/>
        </w:rPr>
        <w:t xml:space="preserve">Dlatego zamiast opowiadać o unikatowym contencie stworzyliśmy go! Efektem jest ponad 1 300 000 wyświetleń „reklamy” Polskiego Radia bez wsparcia standardowymi formatami reklamowymi.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zrobiliśmy? Zdecydowaliśmy się na stworzenie cyklu marketingowego „Żywy Gig”, w ramach którego w studiu Czwórki Polskiego Radia spotykają się wokaliści i producenci reprezentujący różne style muzyczne. Z tego połączenia powstaje utwór, który na wyłączność przez 3 miesiące jest grany na antenie Czwórki, a nagranie video ze studia Polskiego Radia trafia na YouTube. Przy czym, jedynym wsparciem „reklamowym” jest seeding w pierwszych dniach na zasięgowych kanałach influencerów.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 udziału w pierwszej edycji cyklu zaprosiliśmy Dawida Podsiadło, prowadzącego w Czwórce audycję i duet producencki Flirtini. Efekt - ponad 700 000 wyświetleń na YouTube: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https://youtu.be/3eHAWGU7vFw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Druga edycja to kolejne zderzenie zupełnie nieprzystających do siebie światów muzycznych, wokalistki Karoliny Czarneckiej oraz producenta SoDrumatic. Efekt - ponad 600 000 wyświetleń na YouTube.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https://youtu.be/FSegFlhFYrg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cyklu planujemy dziesięć „Żywych gigów”, których finałem będzie wydanie płyty oraz koncert z udziałem wszystkich artystów w studiu Polskiego Radia.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Podsumowując, skuteczne myślenie „narzędziowym insightem”, które przekłada się na tworzenie aktywacji i kampanii odpornych na Adblocka to - nie jak sugeruje przedstawiciel K2 „prosty podział kreacji ze względu na płeć” - a kompletna zmiana myślenia o media miksie. Wymagająca pogodzenia się z faktem, że w społeczeństwie, w którym 35 proc. użytkowników korzysta z Adblocka, dobrze zaplanowana kampania wykorzystująca natywne formaty, jest po prostu skuteczniejsza.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II. Dopasowanie komunikatów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Jak to jest z tym dopasowaniem komunikatów w standardowych formatach reklamy display ? Pozwolę sobie znów przytoczyć cytat ze wspomnianego wcześniej artykułu: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„Poszukujemy określonego modelu zegarka znajdujemy go w e-sklepie, ale postanawiamy porównać ceny w innych sklepach. Po około tygodniu decydujemy się na zakup w jednych z pierwszych przez nas oglądanych sklepach e-commerce. Niestety nie pamiętamy adresu. W tym momencie reklama może nam przyjść z pomocą pokazując oglądane przez nas produkty w wybranym przez nas sklepie.”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Przykład „ciekawy” i warty wypunktowania, tym bardziej, że Adblocking Raport 2015 wyraźnie pokazuje, że 50 proc. nie korzystających jeszcze z Adblocka respondentów na pytanie: „Co sprawiłoby, że</w:t>
      </w:r>
    </w:p>
    <w:p>
      <w:r>
        <w:rPr>
          <w:rFonts w:ascii="calibri" w:hAnsi="calibri" w:eastAsia="calibri" w:cs="calibri"/>
          <w:sz w:val="24"/>
          <w:szCs w:val="24"/>
        </w:rPr>
        <w:t xml:space="preserve">zainstalowałbyś wtyczkę blokującą reklamy ?“ jako główny motywator wskazało „przekonanie, że ich dane są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wykorzystywane do personalizacji reklam”. Hmmmm.... zdziwienie ? Nic dziwnego, wszyscy lubimy mieć</w:t>
      </w:r>
    </w:p>
    <w:p>
      <w:r>
        <w:rPr>
          <w:rFonts w:ascii="calibri" w:hAnsi="calibri" w:eastAsia="calibri" w:cs="calibri"/>
          <w:sz w:val="24"/>
          <w:szCs w:val="24"/>
        </w:rPr>
        <w:t xml:space="preserve"> poczucie prywatności i „zbyt dobrze“ spersonalizowany komunikat na banerze może mieć zupełnie odwrotny skutek od zamierzonego. Tak więc drogi Marketerze pamiętej o nieśmiertelnym trendzie „It’s all about human“. Dobra kampania oparta jest na prawdziwym insighcie, a nie na personalizacji banneru.</w:t>
      </w:r>
    </w:p>
    <w:p>
      <w:r>
        <w:rPr>
          <w:rFonts w:ascii="calibri" w:hAnsi="calibri" w:eastAsia="calibri" w:cs="calibri"/>
          <w:sz w:val="24"/>
          <w:szCs w:val="24"/>
        </w:rPr>
        <w:t xml:space="preserve">poprzez umieszczenie zdjęcia profilowego z FB w kreacji – to, co zazwyczaj cieszy branżę, często przeraża konsumentów. A jeśli ktoś zapomniał, to przypominam, że dla nich robimy to, co robimy.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III. Skuteczność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na tym etapie masz wątpliwości, czy natywne formaty reklamowe sprzedają, czy są skuteczne, to</w:t>
      </w:r>
    </w:p>
    <w:p>
      <w:r>
        <w:rPr>
          <w:rFonts w:ascii="calibri" w:hAnsi="calibri" w:eastAsia="calibri" w:cs="calibri"/>
          <w:sz w:val="24"/>
          <w:szCs w:val="24"/>
        </w:rPr>
        <w:t xml:space="preserve"> posłużę się krótkim przykładem. Realizowana przez nas aktualnie kampania relaunchująca podkład Match Perfection, kluczowy w portfolio marki Rimmel jest optymalnym połączeniem budującym</w:t>
      </w:r>
    </w:p>
    <w:p>
      <w:r>
        <w:rPr>
          <w:rFonts w:ascii="calibri" w:hAnsi="calibri" w:eastAsia="calibri" w:cs="calibri"/>
          <w:sz w:val="24"/>
          <w:szCs w:val="24"/>
        </w:rPr>
        <w:t xml:space="preserve">relevance w oparciu o natywne formaty reklamowe.</w:t>
      </w:r>
    </w:p>
    <w:p>
      <w:r>
        <w:rPr>
          <w:rFonts w:ascii="calibri" w:hAnsi="calibri" w:eastAsia="calibri" w:cs="calibri"/>
          <w:sz w:val="24"/>
          <w:szCs w:val="24"/>
        </w:rPr>
        <w:t xml:space="preserve"> Zbudowanie traialu jest absolutnie najważniejszym wyznacznikiem sukcesu. W ramach kampanii przygotowaliśmy szeroko zakrojone działania we vlogosferze. W myśl naszej idei kreatywnej, do popularnych vlogerek beauty, które występują na co dzień w pojedynkę, w nagraniu dla</w:t>
      </w:r>
    </w:p>
    <w:p>
      <w:r>
        <w:rPr>
          <w:rFonts w:ascii="calibri" w:hAnsi="calibri" w:eastAsia="calibri" w:cs="calibri"/>
          <w:sz w:val="24"/>
          <w:szCs w:val="24"/>
        </w:rPr>
        <w:t xml:space="preserve">Rimmel Match Perfection, dołączają bliskie im osoby: koleżanki, przyjaciółki, siostry. Dzięki temu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prezentujemy główny benefit produktu – dopasowanie, co oznacza szeroką gamę odcieni produktu.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Oprócz testu produktu, vlogerki przekierowują ruch do konkursowego mikrosite’u, gdzie po wypełnieniu </w:t>
      </w:r>
    </w:p>
    <w:p>
      <w:r>
        <w:rPr>
          <w:rFonts w:ascii="calibri" w:hAnsi="calibri" w:eastAsia="calibri" w:cs="calibri"/>
          <w:sz w:val="24"/>
          <w:szCs w:val="24"/>
        </w:rPr>
        <w:t xml:space="preserve">krótkiego zadania, prosimy użytkowniczki o pozostawienia leadu. Efekt po tygodniu aktywacji to ponad</w:t>
      </w:r>
    </w:p>
    <w:p>
      <w:r>
        <w:rPr>
          <w:rFonts w:ascii="calibri" w:hAnsi="calibri" w:eastAsia="calibri" w:cs="calibri"/>
          <w:sz w:val="24"/>
          <w:szCs w:val="24"/>
        </w:rPr>
        <w:t xml:space="preserve">10000 leadów w bazie, od użytkowniczek, które wyraziły zgodę na dalszą komunikację marketingową ze strony firmy Rimmel.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Przykładowy content: https://www.youtube.com/watch?v=SUMehFFYNUM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 takimi użytkowniczkami jesteśmy w stanie dalej budować CRMową relację, poprzez odpowiednio</w:t>
      </w:r>
    </w:p>
    <w:p>
      <w:r>
        <w:rPr>
          <w:rFonts w:ascii="calibri" w:hAnsi="calibri" w:eastAsia="calibri" w:cs="calibri"/>
          <w:sz w:val="24"/>
          <w:szCs w:val="24"/>
        </w:rPr>
        <w:t xml:space="preserve">skonstruowaną komunikację mailingową i segmentację bazy rekordów. Na tym etapie nie jesteśmy już intruzem, jesteśmy „koleżanką”.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Myśl na koniec tego felietonu, z którą mam nadzieję większość z Was się zgodzi, jest zaskakująco prosta -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pamiętajmy o „narzędziowym insightcie”, obserwujmy ludzi. Wtedy liczby w analyticsie również będą się zgadzały. W drugą stronę nie jest to tak oczywiste.</w:t>
      </w:r>
    </w:p>
    <w:p>
      <w:r>
        <w:rPr>
          <w:rFonts w:ascii="calibri" w:hAnsi="calibri" w:eastAsia="calibri" w:cs="calibri"/>
          <w:sz w:val="24"/>
          <w:szCs w:val="24"/>
        </w:rPr>
        <w:t xml:space="preserve">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2025-11-26T09:41:54+01:00</dcterms:created>
  <dcterms:modified xsi:type="dcterms:W3CDTF">2025-11-26T09:41:54+01:00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