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marki Opel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planowanie i realizację strategii obecności Opel Poland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kreacja contentu, social content management, community managment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marki Opel to nobilitacja dla każdej Agencji. Jest mi bardzo miło, że nasze podejście strategiczno-kreatywne zostało ocenione najlepiej. </w:t>
      </w:r>
    </w:p>
    <w:p>
      <w:r>
        <w:rPr>
          <w:rFonts w:ascii="calibri" w:hAnsi="calibri" w:eastAsia="calibri" w:cs="calibri"/>
          <w:sz w:val="24"/>
          <w:szCs w:val="24"/>
        </w:rPr>
        <w:t xml:space="preserve">Komentuje Gustaw Rozmarynowski, New Business &amp; Account Director w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Showmax, PAYBACK, Rimmel, CAT,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2017 roku Digital Kingdom otrzymało wyróżnienie w konkursie Golden Arrow w kategorii Digital marketing – wideo oraz nominację do Effie za Launch serwisu Showmax.com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2025-12-18T13:06:05+01:00</dcterms:created>
  <dcterms:modified xsi:type="dcterms:W3CDTF">2025-12-18T13:06:05+01:00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