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marki Mirinda i 7UP.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kompleksową obsługę digital dwóch marek z portfolio PepsiCo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marek w kanałach interaktywnych oraz bieżąca kreacja contentu, social content management, community management wraz z wdrażaniem aktywacji specjalnych.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tak ikonicznych marek, to nobilitacja dla każdej Agencji. Jest mi bardzo miło, że nasze podejście strategiczno-kreatywne zostało ocenione, jako najlepiej odpowiadające na potrzeby marek Mirinda i 7UP</w:t>
      </w:r>
      <w:r>
        <w:rPr>
          <w:rFonts w:ascii="calibri" w:hAnsi="calibri" w:eastAsia="calibri" w:cs="calibri"/>
          <w:sz w:val="24"/>
          <w:szCs w:val="24"/>
        </w:rPr>
        <w:t xml:space="preserve">, komentuje Gustaw Rozmarynowski, New Business &amp; Account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 odpowiada Media Direction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OMD, działania ATL planuje BBDO.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PAYBACK,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2025-10-31T20:11:26+01:00</dcterms:created>
  <dcterms:modified xsi:type="dcterms:W3CDTF">2025-10-31T20:11:26+01:00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