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Digital Kingdom obsługuje marki Mirinda i 7UP.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Agencja po wygranym przetargu odpowiada za kompleksową obsługę digital dwóch marek z portfolio PepsiCo Polska.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zadań Digital Kingdom należy opracowanie i egzekucja strategii obecności marek w kanałach interaktywnych oraz bieżąca kreacja contentu, social content management, community management wraz z wdrażaniem aktywacji specjalnych.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Praca dla tak ikonicznych marek, to nobilitacja dla każdej Agencji. Jest mi bardzo miło, że nasze podejście strategiczno-kreatywne zostało ocenione, jako najlepiej odpowiadające na potrzeby marek Mirinda i 7UP</w:t>
      </w:r>
      <w:r>
        <w:rPr>
          <w:rFonts w:ascii="calibri" w:hAnsi="calibri" w:eastAsia="calibri" w:cs="calibri"/>
          <w:sz w:val="24"/>
          <w:szCs w:val="24"/>
        </w:rPr>
        <w:t xml:space="preserve">, komentuje Gustaw Rozmarynowski, New Business &amp; Account Director w Digital Kingdom.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zakup mediów odpowiada Media Direction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OMD, działania ATL planuje BBDO.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o Agencji: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Digital Kingdom to jedna z najczęściej nagradzanych niezależnych agencji strategiczno-kreatywnych w Polsce. Realizujemy projekty we wszystkich obszarach marketingu skutecznie łącząc świat off i online. Agencja pracuje dla największych marek w Polsce i za granicą m.in.: Opel, PAYBACK, Rimmel, CAT, L’Oréal, Dr.Martens, Randstad, Keds, Sperry, dr. Gerard, Sony Network Entertainment.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stronie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biurze prasowym</w:t>
        </w:r>
      </w:hyperlink>
      <w:r>
        <w:rPr>
          <w:rFonts w:ascii="calibri" w:hAnsi="calibri" w:eastAsia="calibri" w:cs="calibri"/>
          <w:sz w:val="24"/>
          <w:szCs w:val="24"/>
        </w:rPr>
        <w:t xml:space="preserve"> Agencji.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digitalkingdom.pl/" TargetMode="External"/><Relationship Id="rId8" Type="http://schemas.openxmlformats.org/officeDocument/2006/relationships/hyperlink" Target="http://digitalkingdom.biuroprasow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2025-04-16T11:28:12+02:00</dcterms:created>
  <dcterms:modified xsi:type="dcterms:W3CDTF">2025-04-16T11:28:12+02:00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