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obsługuje marki Mirinda i 7UP.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wygranym przetargu odpowiada za kompleksową obsługę digital dwóch marek z portfolio PepsiCo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Digital Kingdom należy opracowanie i egzekucja strategii obecności marek w kanałach interaktywnych oraz bieżąca kreacja contentu, social content management, community management wraz z wdrażaniem aktywacji specjalnych.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Praca dla tak ikonicznych marek, to nobilitacja dla każdej Agencji. Jest mi bardzo miło, że nasze podejście strategiczno-kreatywne zostało ocenione, jako najlepiej odpowiadające na potrzeby marek Mirinda i 7UP</w:t>
      </w:r>
      <w:r>
        <w:rPr>
          <w:rFonts w:ascii="calibri" w:hAnsi="calibri" w:eastAsia="calibri" w:cs="calibri"/>
          <w:sz w:val="24"/>
          <w:szCs w:val="24"/>
        </w:rPr>
        <w:t xml:space="preserve">, komentuje Gustaw Rozmarynowski, New Business &amp; Account Director w Digital Kingdom.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zakup mediów odpowiada Media Direction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OMD, działania ATL planuje BBDO.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Polsce. Realizujemy projekty we wszystkich obszarach marketingu skutecznie łącząc świat off i online. Agencja pracuje dla największych marek w Polsce i za granicą m.in.: Opel, PAYBACK, Rimmel, CAT, L’Oréal, Dr.Martens, Randstad, Keds, Sperry, dr. Gerard,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kingdom.pl/" TargetMode="External"/><Relationship Id="rId8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2026-09-16T09:22:05+02:00</dcterms:created>
  <dcterms:modified xsi:type="dcterms:W3CDTF">2026-09-16T09:22:05+02:00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