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obsługuje marki Mirinda i 7UP.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kompleksową obsługę digital dwóch marek z portfolio PepsiCo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opracowanie i egzekucja strategii obecności marek w kanałach interaktywnych oraz bieżąca kreacja contentu, social content management, community management wraz z wdrażaniem aktywacji specjalnych.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Praca dla tak ikonicznych marek, to nobilitacja dla każdej Agencji. Jest mi bardzo miło, że nasze podejście strategiczno-kreatywne zostało ocenione, jako najlepiej odpowiadające na potrzeby marek Mirinda i 7UP</w:t>
      </w:r>
      <w:r>
        <w:rPr>
          <w:rFonts w:ascii="calibri" w:hAnsi="calibri" w:eastAsia="calibri" w:cs="calibri"/>
          <w:sz w:val="24"/>
          <w:szCs w:val="24"/>
        </w:rPr>
        <w:t xml:space="preserve">, komentuje Gustaw Rozmarynowski, New Business &amp; Account Director w Digital Kingdom.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 mediów odpowiada Media Direction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OMD, działania ATL planuje BBDO.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PAYBACK, Rimmel,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2026-11-05T18:43:12+01:00</dcterms:created>
  <dcterms:modified xsi:type="dcterms:W3CDTF">2026-11-05T18:43:12+01:00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