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obsługuje marki Mirinda i 7UP.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po wygranym przetargu odpowiada za kompleksową obsługę digital dwóch marek z portfolio PepsiCo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zadań Digital Kingdom należy opracowanie i egzekucja strategii obecności marek w kanałach interaktywnych oraz bieżąca kreacja contentu, social content management, community management wraz z wdrażaniem aktywacji specjalnych.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Praca dla tak ikonicznych marek, to nobilitacja dla każdej Agencji. Jest mi bardzo miło, że nasze podejście strategiczno-kreatywne zostało ocenione, jako najlepiej odpowiadające na potrzeby marek Mirinda i 7UP</w:t>
      </w:r>
      <w:r>
        <w:rPr>
          <w:rFonts w:ascii="calibri" w:hAnsi="calibri" w:eastAsia="calibri" w:cs="calibri"/>
          <w:sz w:val="24"/>
          <w:szCs w:val="24"/>
        </w:rPr>
        <w:t xml:space="preserve">, komentuje Gustaw Rozmarynowski, New Business &amp; Account Director w Digital Kingdom.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zakup mediów odpowiada Media Direction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OMD, działania ATL planuje BBDO.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Agencji: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to jedna z najczęściej nagradzanych niezależnych agencji strategiczno-kreatywnych w Polsce. Realizujemy projekty we wszystkich obszarach marketingu skutecznie łącząc świat off i online. Agencja pracuje dla największych marek w Polsce i za granicą m.in.: Opel, PAYBACK, Rimmel, CAT, L’Oréal, Dr.Martens, Randstad, Keds, Sperry, dr. Gerard, Sony Network Entertainment.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biurze prasowym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Agencji.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gitalkingdom.pl/" TargetMode="External"/><Relationship Id="rId8" Type="http://schemas.openxmlformats.org/officeDocument/2006/relationships/hyperlink" Target="http://digitalkingdom.biuroprasow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2026-08-01T20:18:20+02:00</dcterms:created>
  <dcterms:modified xsi:type="dcterms:W3CDTF">2026-08-01T20:18:20+02:00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