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Digital Kingdom obsługuje Grupę PZU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po wygranym przetargu odpowiada za obsługę social media Grupy PZU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zadań Digital Kingdom należy opracowanie i egzekucja strategii obecności Grupy PZU w mediach społecznościowych, social listening, kreacja contentu oraz wsparcie kreatywno-koncepcyjne w bieżących projektach komunikacyjnych. Działania obejmują obsługę platform: Facebook, Linkedin, Twitter, YouTube oraz influencer marketing.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Praca dla największej firmy ubezpieczeniowej w Polsce, to dla nas wyróżnienie i zaszczyt, dołożymy wszelkich starań, aby pozycja Grupy PZU w social media odzwierciedlała jej status lidera rynku ubezpieczeń w Polsce. </w:t>
      </w:r>
      <w:r>
        <w:rPr>
          <w:rFonts w:ascii="calibri" w:hAnsi="calibri" w:eastAsia="calibri" w:cs="calibri"/>
          <w:sz w:val="24"/>
          <w:szCs w:val="24"/>
        </w:rPr>
        <w:t xml:space="preserve">Komentuje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Gustaw Rozmarynowski, New Business &amp; Account Director w Digital Kingdom.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Damian Ziąber, dyrektor biura komunikacji korporacyjnej Grupy PZU, dodaje, że przed agencją stoi ambitne zadanie – z jednej strony pokazanie zupełnie nowego oblicza PZU, a z drugiej – doprowadzenie do tego, aby miała ona głos w pełni odzwierciedlający rolę, jaką firma odgrywa w ubezpieczeniach.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Zadanie nie jest łatwe, ale wierzę że Digital Kingdom dysponuje potencjałem, który pozwoli nam pokazać wszystko to, co robimy dla klientów, pracowników, akcjonariuszy i społeczności lokalnych. </w:t>
      </w:r>
      <w:r>
        <w:rPr>
          <w:rFonts w:ascii="calibri" w:hAnsi="calibri" w:eastAsia="calibri" w:cs="calibri"/>
          <w:sz w:val="24"/>
          <w:szCs w:val="24"/>
        </w:rPr>
        <w:t xml:space="preserve"> – mówi Ziąber.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Agencji:</w:t>
      </w:r>
    </w:p>
    <w:p>
      <w:r>
        <w:rPr>
          <w:rFonts w:ascii="calibri" w:hAnsi="calibri" w:eastAsia="calibri" w:cs="calibri"/>
          <w:sz w:val="24"/>
          <w:szCs w:val="24"/>
        </w:rPr>
        <w:t xml:space="preserve"> Digital Kingdom to jedna z najczęściej nagradzanych niezależnych agencji strategiczno-kreatywnych w Polsce. Realizujemy projekty we wszystkich obszarach marketingu skutecznie łącząc świat off i online. Agencja pracuje dla największych marek w Polsce i za granicą m.in.: Opel, Mirinda, 7UP, CAT, L’Oréal, Dr.Martens, Randstad, Keds, Sperry, dr. Gerard, Sony Network Entertainment.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stronie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biurze prasowym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Agencji.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gitalkingdom.pl/" TargetMode="External"/><Relationship Id="rId8" Type="http://schemas.openxmlformats.org/officeDocument/2006/relationships/hyperlink" Target="http://digitalkingdom.biuroprasow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2026-09-18T03:41:05+02:00</dcterms:created>
  <dcterms:modified xsi:type="dcterms:W3CDTF">2026-09-18T03:41:05+02:00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