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wdraża długofalowy program influencerski dla marki Rimmel.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wygrała przetarg na wdrożenie i obsługę programu aktywującego influencerów dla marki Rimmel.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w ramach projektu opracowało strategię i ideę kreatywną programu oraz odpowiada za selekcję, rekrutację i stały nadzór nad 30 mid-level influencerami z segmentu beauty.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„Dla marki Rimmel pracujemy od 2014 roku sukcesywnie wdrażając aktywacje produktowe. W zeszłym roku wdrożyliśmy program ambasadorskiej współpracy marki z trzema zasięgowymi influencerkami: Zuzą Kołodziejczyk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Viva-a-Viva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Berry Malinowską. Cieszę się, że po raz kolejny wyznaczamy standardy w kategorii przygotowując tak szeroko zakrojony projekt”</w:t>
      </w:r>
      <w:r>
        <w:rPr>
          <w:rFonts w:ascii="calibri" w:hAnsi="calibri" w:eastAsia="calibri" w:cs="calibri"/>
          <w:sz w:val="24"/>
          <w:szCs w:val="24"/>
        </w:rPr>
        <w:t xml:space="preserve"> - komentuje Gustaw Rozmarynowski Account Director i Partner w Digital Kingdom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realizuje projekty we wszystkich obszarach marketingu, ze szczególnym naciskiem na platformy komunikacji kierowane do millenialsów.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pracuje dla największych marek w Polsce i za granicą m.in.: PAYBACK, Rimmel, CAT, Keds, Sperry, OTCF S.A, Betsson, Betsafe, dr. Gerard, Polskie Radio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www.digitalkingdom.pl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gitalking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2026-10-03T08:24:01+02:00</dcterms:created>
  <dcterms:modified xsi:type="dcterms:W3CDTF">2026-10-03T08:24:01+02:00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