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 Kingdom wdraża długofalowy program influencerski dla marki Rimmel.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wygrała przetarg na wdrożenie i obsługę programu aktywującego influencerów dla marki Rimmel.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 Kingdom w ramach projektu opracowało strategię i ideę kreatywną programu oraz odpowiada za selekcję, rekrutację i stały nadzór nad 30 mid-level influencerami z segmentu beauty.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„Dla marki Rimmel pracujemy od 2014 roku sukcesywnie wdrażając aktywacje produktowe. W zeszłym roku wdrożyliśmy program ambasadorskiej współpracy marki z trzema zasięgowymi influencerkami: Zuzą Kołodziejczyk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Viva-a-Viva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 Berry Malinowską. Cieszę się, że po raz kolejny wyznaczamy standardy w kategorii przygotowując tak szeroko zakrojony projekt”</w:t>
      </w:r>
      <w:r>
        <w:rPr>
          <w:rFonts w:ascii="calibri" w:hAnsi="calibri" w:eastAsia="calibri" w:cs="calibri"/>
          <w:sz w:val="24"/>
          <w:szCs w:val="24"/>
        </w:rPr>
        <w:t xml:space="preserve"> - komentuje Gustaw Rozmarynowski Account Director i Partner w Digital Kingdom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Informacje o agencji: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to agencja strategiczno-kreatywna, której sercem jest digital.</w:t>
      </w:r>
    </w:p>
    <w:p>
      <w:r>
        <w:rPr>
          <w:rFonts w:ascii="calibri" w:hAnsi="calibri" w:eastAsia="calibri" w:cs="calibri"/>
          <w:sz w:val="24"/>
          <w:szCs w:val="24"/>
        </w:rPr>
        <w:t xml:space="preserve"> Digital Kingdom realizuje projekty we wszystkich obszarach marketingu, ze szczególnym naciskiem na platformy komunikacji kierowane do millenialsów.</w:t>
      </w:r>
    </w:p>
    <w:p>
      <w:r>
        <w:rPr>
          <w:rFonts w:ascii="calibri" w:hAnsi="calibri" w:eastAsia="calibri" w:cs="calibri"/>
          <w:sz w:val="24"/>
          <w:szCs w:val="24"/>
        </w:rPr>
        <w:t xml:space="preserve"> Agencja pracuje dla największych marek w Polsce i za granicą m.in.: PAYBACK, Rimmel, CAT, Keds, Sperry, OTCF S.A, Betsson, Betsafe, dr. Gerard, Polskie Radio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www.digitalkingdom.pl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digitalkingdo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2026-01-05T20:28:31+01:00</dcterms:created>
  <dcterms:modified xsi:type="dcterms:W3CDTF">2026-01-05T20:28:31+01:00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