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odpowiada za obecność ShowMax w Social Media.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Digital Kingdom pracuje na polskim rynku dla serwisu VoD ShowMax. Współpraca ma charakter długofalowy.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odpowiada za planowanie i egzekucję strategii obecności ShowMax Polska w mediach społecznościowych. Do działań agencji należy kreacja contentu, social content management, kompleksowa obsługa profilów marki (Facebook, Youtube) , wsparcie działu obsługi klienta oraz planowanie i wdrażanie aktywacji specjalnych w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ShowMax to projekt, który zmieni rynek VoD w Polsce. Skupienie na potrzebach polskiego widza oraz ambitne plany lokalnych produkcji, we współpracy z najlepszymi polskimi reżyserami wyróżniają ShowMax na tle konkurencji. Lokalność, skupienie na polskim rynku widoczne jest także na poziomie agencji wspierających markę. Miło nam, że jesteśmy w gronie czołowych polskich agencji, które mają przyjemność pracować dla ShowMax</w:t>
      </w:r>
      <w:r>
        <w:rPr>
          <w:rFonts w:ascii="calibri" w:hAnsi="calibri" w:eastAsia="calibri" w:cs="calibri"/>
          <w:sz w:val="24"/>
          <w:szCs w:val="24"/>
        </w:rPr>
        <w:t xml:space="preserve"> - komentuje Gustaw Rozmarynowski, New Business &amp; Account Director w Digital Kingdom.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Umowę zawarto na czas nieokreślony.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agencji: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to agencja strategiczno-kreatywna, której sercem jest digital.</w:t>
      </w:r>
    </w:p>
    <w:p>
      <w:r>
        <w:rPr>
          <w:rFonts w:ascii="calibri" w:hAnsi="calibri" w:eastAsia="calibri" w:cs="calibri"/>
          <w:sz w:val="24"/>
          <w:szCs w:val="24"/>
        </w:rPr>
        <w:t xml:space="preserve"> Digital Kingdom realizuje projekty we wszystkich obszarach marketingu, ze szczególnym naciskiem na platformy komunikacji kierowane do millenialsów.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Agencja pracuje dla największych marek w Polsce i za granicą m.in.: PAYBACK, Rimmel, CAT, Keds, Sperry, OTCF S.A, Betsson, Betsafe, dr. Gerard, Polskie Radio.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Więcej informacji: www.digitalkingdom.pl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2024-04-26T17:43:18+02:00</dcterms:created>
  <dcterms:modified xsi:type="dcterms:W3CDTF">2024-04-26T17:43:18+02:00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