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showreel agencji Digital Kingdom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Półtora roku w półtorej minuty. Agencja prezentuje skrót swoich najlepszych caseów z 2015 roku i pierwszej połowy 2016.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Uderzające. Mocne. Przyciągające. Zabawne. Perfekcyjnie wykonane. - Takie są nasze realizacje -</w:t>
      </w:r>
      <w:r>
        <w:rPr>
          <w:rFonts w:ascii="calibri" w:hAnsi="calibri" w:eastAsia="calibri" w:cs="calibri"/>
          <w:sz w:val="24"/>
          <w:szCs w:val="24"/>
        </w:rPr>
        <w:t xml:space="preserve">mówi Joanna Gerlee, head of creative w Digital Kingdom. - Intro showreela nawiązuje do tych pięciu filarów i jest złożone ze specjalnie nakręconych na tę okazję scen.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Pozycję Agencji na rynku określają jej Klienci i poziom wykonywanych dla nich prac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dumny, że w ciągu ostatnich dwóch lat udało nam się rozwinąć współpracę z dotychczasowymi Klientami. Jednocześnie wygraliśmy szereg prestiżowych przetargów na obsługę takich marek, jak: Malibu, Rimmel, CAT footwear i Polskie Radio </w:t>
      </w:r>
      <w:r>
        <w:rPr>
          <w:rFonts w:ascii="calibri" w:hAnsi="calibri" w:eastAsia="calibri" w:cs="calibri"/>
          <w:sz w:val="24"/>
          <w:szCs w:val="24"/>
        </w:rPr>
        <w:t xml:space="preserve">- dodaje Gustaw Rozmarynowski, prezes zarządu Digital Kingdom.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Obejrzyj showreel: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https://youtu.be/KSeE2e6YMmY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Digital Kingdom, informacje o agencji: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Agencja strategiczno–kreatywna, której serce bije w rytmie internetu.</w:t>
      </w:r>
    </w:p>
    <w:p>
      <w:r>
        <w:rPr>
          <w:rFonts w:ascii="calibri" w:hAnsi="calibri" w:eastAsia="calibri" w:cs="calibri"/>
          <w:sz w:val="24"/>
          <w:szCs w:val="24"/>
        </w:rPr>
        <w:t xml:space="preserve"> Planujemy, tworzymy i wdrażamy platformy komunikacji w mediach interaktywnych dla największych marek w Polsce i za granicą. Do grona naszych Klientów należą między innymi: Coty, CAT footwear, Grupa Betsson w regionie CEE, Mobile Vikings, OTCF S.A, Polskie Radio, Pernod Ricard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SeE2e6YM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2024-04-25T17:18:35+02:00</dcterms:created>
  <dcterms:modified xsi:type="dcterms:W3CDTF">2024-04-25T17:18:35+02:00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