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obsługuje marki Ferrero Rocher i Raffaello.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po wygranym przetargu odpowiada za kompleksową obsługę digital dwóch marek z portfolio Ferrero Polska Commercial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Digital Kingdom należy opracowanie i egzekucja strategii obecności marek w kanałach interaktywnych oraz bieżąca kreacja contentu, social content management, community management wraz z wdrażaniem aktywacji specjalnych oraz realizacja sesji zdjęciowych dla obu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Praca dla tak znanych i lubianych marek, to nobilitacja dla każdej Agencji. Cieszę się, że nasze podejście strategiczno-kreatywne zostało ocenione, jako najlepiej odpowiadające na potrzeby marek Ferrero Rocher i Raffaello</w:t>
      </w:r>
      <w:r>
        <w:rPr>
          <w:rFonts w:ascii="calibri" w:hAnsi="calibri" w:eastAsia="calibri" w:cs="calibri"/>
          <w:sz w:val="24"/>
          <w:szCs w:val="24"/>
        </w:rPr>
        <w:t xml:space="preserve">, komentuje Gustaw Rozmarynowski, New Business &amp; Account Director w Digital Kingdom.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Polsce. Realizujemy projekty we wszystkich obszarach marketingu skutecznie łącząc świat off i online. Agencja pracuje dla największych marek w Polsce i za granicą m.in.: Mirinda, 7UP, Opel, Rimmel, CAT, L’Oréal, Dr.Martens, Randstad, Keds, Sperry, dr. Gerard, Sony Network Entertainment.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igitalkingdom.pl/" TargetMode="External"/><Relationship Id="rId8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2024-04-23T09:54:28+02:00</dcterms:created>
  <dcterms:modified xsi:type="dcterms:W3CDTF">2024-04-23T09:54:28+02:00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